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890D" w14:textId="77777777" w:rsidR="00B207D1" w:rsidRPr="00023311" w:rsidRDefault="007A2810" w:rsidP="00FB15CE">
      <w:pPr>
        <w:spacing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023311">
        <w:rPr>
          <w:rFonts w:ascii="Arial" w:hAnsi="Arial" w:cs="Arial"/>
          <w:noProof/>
          <w:lang w:val="en-US"/>
        </w:rPr>
        <w:drawing>
          <wp:inline distT="0" distB="0" distL="0" distR="0" wp14:anchorId="5205D6D9" wp14:editId="45101567">
            <wp:extent cx="903181" cy="894868"/>
            <wp:effectExtent l="0" t="0" r="0" b="635"/>
            <wp:docPr id="4" name="Imagen 4" descr="G:\OneDrive\OneDrive - Universidad de La Ciénega del Estado de Michoacán de Ocampo\Escritorio\ucemic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OneDrive\OneDrive - Universidad de La Ciénega del Estado de Michoacán de Ocampo\Escritorio\ucemich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20" cy="89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311">
        <w:rPr>
          <w:rFonts w:ascii="Arial" w:hAnsi="Arial" w:cs="Arial"/>
          <w:b/>
          <w:sz w:val="28"/>
          <w:szCs w:val="28"/>
        </w:rPr>
        <w:t xml:space="preserve">                 </w:t>
      </w:r>
      <w:r w:rsidRPr="0002331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31B4E" w:rsidRPr="00023311">
        <w:rPr>
          <w:rFonts w:ascii="Arial" w:hAnsi="Arial" w:cs="Arial"/>
          <w:b/>
          <w:sz w:val="28"/>
          <w:szCs w:val="28"/>
          <w:u w:val="single"/>
        </w:rPr>
        <w:t>Ficha técnica de materia optativa</w:t>
      </w:r>
    </w:p>
    <w:tbl>
      <w:tblPr>
        <w:tblStyle w:val="Tablaconcuadrcula"/>
        <w:tblpPr w:leftFromText="141" w:rightFromText="141" w:vertAnchor="page" w:horzAnchor="margin" w:tblpY="3093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23235" w:rsidRPr="00023311" w14:paraId="1CF256AB" w14:textId="77777777" w:rsidTr="00345056">
        <w:tc>
          <w:tcPr>
            <w:tcW w:w="8828" w:type="dxa"/>
          </w:tcPr>
          <w:p w14:paraId="7729F023" w14:textId="442279A7" w:rsidR="00C10FC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Nombre del curso:</w:t>
            </w:r>
          </w:p>
          <w:p w14:paraId="42283E7F" w14:textId="285E30E9" w:rsidR="00023235" w:rsidRPr="00416A9F" w:rsidRDefault="00023235" w:rsidP="00FB15C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6A9F">
              <w:rPr>
                <w:rFonts w:ascii="Arial" w:hAnsi="Arial" w:cs="Arial"/>
                <w:color w:val="000000" w:themeColor="text1"/>
              </w:rPr>
              <w:t>Inocuidad de los alimentos</w:t>
            </w:r>
            <w:r w:rsidR="008F4B11" w:rsidRPr="00416A9F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023235" w:rsidRPr="00023311" w14:paraId="395634A5" w14:textId="77777777" w:rsidTr="00345056">
        <w:tc>
          <w:tcPr>
            <w:tcW w:w="8828" w:type="dxa"/>
          </w:tcPr>
          <w:p w14:paraId="17F3B15F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Docente:</w:t>
            </w:r>
          </w:p>
          <w:p w14:paraId="7AE8356B" w14:textId="121B1887" w:rsidR="00023235" w:rsidRPr="00416A9F" w:rsidRDefault="00023235" w:rsidP="00FB15C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6A9F">
              <w:rPr>
                <w:rFonts w:ascii="Arial" w:hAnsi="Arial" w:cs="Arial"/>
                <w:color w:val="000000" w:themeColor="text1"/>
              </w:rPr>
              <w:t>M</w:t>
            </w:r>
            <w:r w:rsidR="00FF7ACB" w:rsidRPr="00416A9F">
              <w:rPr>
                <w:rFonts w:ascii="Arial" w:hAnsi="Arial" w:cs="Arial"/>
                <w:color w:val="000000" w:themeColor="text1"/>
              </w:rPr>
              <w:t>. en C</w:t>
            </w:r>
            <w:r w:rsidRPr="00416A9F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F45BCC" w:rsidRPr="00416A9F">
              <w:rPr>
                <w:rFonts w:ascii="Arial" w:hAnsi="Arial" w:cs="Arial"/>
                <w:color w:val="000000" w:themeColor="text1"/>
              </w:rPr>
              <w:t>José Armando Magaña González</w:t>
            </w:r>
            <w:r w:rsidR="008F4B11" w:rsidRPr="00416A9F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023235" w:rsidRPr="00023311" w14:paraId="571021F4" w14:textId="77777777" w:rsidTr="00345056">
        <w:tc>
          <w:tcPr>
            <w:tcW w:w="8828" w:type="dxa"/>
          </w:tcPr>
          <w:p w14:paraId="3B2E71A3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Día y horario:</w:t>
            </w:r>
          </w:p>
          <w:p w14:paraId="7FCA4FEE" w14:textId="671CAF11" w:rsidR="00023235" w:rsidRPr="005A7396" w:rsidRDefault="00023235" w:rsidP="00FB15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A7396">
              <w:rPr>
                <w:rFonts w:ascii="Arial" w:hAnsi="Arial" w:cs="Arial"/>
                <w:color w:val="000000" w:themeColor="text1"/>
              </w:rPr>
              <w:t>Martes 0</w:t>
            </w:r>
            <w:r w:rsidR="005D7652" w:rsidRPr="005A7396">
              <w:rPr>
                <w:rFonts w:ascii="Arial" w:hAnsi="Arial" w:cs="Arial"/>
                <w:color w:val="000000" w:themeColor="text1"/>
              </w:rPr>
              <w:t>8</w:t>
            </w:r>
            <w:r w:rsidRPr="005A7396">
              <w:rPr>
                <w:rFonts w:ascii="Arial" w:hAnsi="Arial" w:cs="Arial"/>
                <w:color w:val="000000" w:themeColor="text1"/>
              </w:rPr>
              <w:t>:00-1</w:t>
            </w:r>
            <w:r w:rsidR="00260F58">
              <w:rPr>
                <w:rFonts w:ascii="Arial" w:hAnsi="Arial" w:cs="Arial"/>
                <w:color w:val="000000" w:themeColor="text1"/>
              </w:rPr>
              <w:t>0</w:t>
            </w:r>
            <w:r w:rsidRPr="005A7396">
              <w:rPr>
                <w:rFonts w:ascii="Arial" w:hAnsi="Arial" w:cs="Arial"/>
                <w:color w:val="000000" w:themeColor="text1"/>
              </w:rPr>
              <w:t>:</w:t>
            </w:r>
            <w:r w:rsidR="00260F58">
              <w:rPr>
                <w:rFonts w:ascii="Arial" w:hAnsi="Arial" w:cs="Arial"/>
                <w:color w:val="000000" w:themeColor="text1"/>
              </w:rPr>
              <w:t>3</w:t>
            </w:r>
            <w:r w:rsidRPr="005A7396">
              <w:rPr>
                <w:rFonts w:ascii="Arial" w:hAnsi="Arial" w:cs="Arial"/>
                <w:color w:val="000000" w:themeColor="text1"/>
              </w:rPr>
              <w:t>0</w:t>
            </w:r>
            <w:r w:rsidR="001065A5" w:rsidRPr="005A7396">
              <w:rPr>
                <w:rFonts w:ascii="Arial" w:hAnsi="Arial" w:cs="Arial"/>
                <w:color w:val="000000" w:themeColor="text1"/>
              </w:rPr>
              <w:t xml:space="preserve"> am</w:t>
            </w:r>
            <w:r w:rsidR="008F4B11" w:rsidRPr="005A7396">
              <w:rPr>
                <w:rFonts w:ascii="Arial" w:hAnsi="Arial" w:cs="Arial"/>
                <w:color w:val="000000" w:themeColor="text1"/>
              </w:rPr>
              <w:t>.</w:t>
            </w:r>
          </w:p>
          <w:p w14:paraId="0F6955E0" w14:textId="6CB59DCB" w:rsidR="00023235" w:rsidRPr="005A7396" w:rsidRDefault="00023235" w:rsidP="00FB15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A7396">
              <w:rPr>
                <w:rFonts w:ascii="Arial" w:hAnsi="Arial" w:cs="Arial"/>
                <w:color w:val="000000" w:themeColor="text1"/>
              </w:rPr>
              <w:t>Jueves 0</w:t>
            </w:r>
            <w:r w:rsidR="00B36018" w:rsidRPr="005A7396">
              <w:rPr>
                <w:rFonts w:ascii="Arial" w:hAnsi="Arial" w:cs="Arial"/>
                <w:color w:val="000000" w:themeColor="text1"/>
              </w:rPr>
              <w:t>8</w:t>
            </w:r>
            <w:r w:rsidRPr="005A7396">
              <w:rPr>
                <w:rFonts w:ascii="Arial" w:hAnsi="Arial" w:cs="Arial"/>
                <w:color w:val="000000" w:themeColor="text1"/>
              </w:rPr>
              <w:t>:00-1</w:t>
            </w:r>
            <w:r w:rsidR="00B36018" w:rsidRPr="005A7396">
              <w:rPr>
                <w:rFonts w:ascii="Arial" w:hAnsi="Arial" w:cs="Arial"/>
                <w:color w:val="000000" w:themeColor="text1"/>
              </w:rPr>
              <w:t>0</w:t>
            </w:r>
            <w:r w:rsidRPr="005A7396">
              <w:rPr>
                <w:rFonts w:ascii="Arial" w:hAnsi="Arial" w:cs="Arial"/>
                <w:color w:val="000000" w:themeColor="text1"/>
              </w:rPr>
              <w:t>:</w:t>
            </w:r>
            <w:r w:rsidR="00260F58">
              <w:rPr>
                <w:rFonts w:ascii="Arial" w:hAnsi="Arial" w:cs="Arial"/>
                <w:color w:val="000000" w:themeColor="text1"/>
              </w:rPr>
              <w:t>3</w:t>
            </w:r>
            <w:r w:rsidRPr="005A7396">
              <w:rPr>
                <w:rFonts w:ascii="Arial" w:hAnsi="Arial" w:cs="Arial"/>
                <w:color w:val="000000" w:themeColor="text1"/>
              </w:rPr>
              <w:t>0</w:t>
            </w:r>
            <w:r w:rsidR="001065A5" w:rsidRPr="005A7396">
              <w:rPr>
                <w:rFonts w:ascii="Arial" w:hAnsi="Arial" w:cs="Arial"/>
                <w:color w:val="000000" w:themeColor="text1"/>
              </w:rPr>
              <w:t xml:space="preserve"> am</w:t>
            </w:r>
            <w:r w:rsidR="008F4B11" w:rsidRPr="005A7396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023235" w:rsidRPr="00023311" w14:paraId="663DFE50" w14:textId="77777777" w:rsidTr="00345056">
        <w:tc>
          <w:tcPr>
            <w:tcW w:w="8828" w:type="dxa"/>
          </w:tcPr>
          <w:p w14:paraId="20F37498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Cupo máximo:</w:t>
            </w:r>
          </w:p>
          <w:p w14:paraId="36CCB4B9" w14:textId="1EA52FC2" w:rsidR="00023235" w:rsidRPr="00416A9F" w:rsidRDefault="00023235" w:rsidP="00FB15C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6A9F">
              <w:rPr>
                <w:rFonts w:ascii="Arial" w:hAnsi="Arial" w:cs="Arial"/>
                <w:color w:val="000000" w:themeColor="text1"/>
              </w:rPr>
              <w:t>15 estudiantes de Genómica Alimentaria</w:t>
            </w:r>
            <w:r w:rsidR="008F4B11" w:rsidRPr="00416A9F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023235" w:rsidRPr="00023311" w14:paraId="2D32D2A7" w14:textId="77777777" w:rsidTr="00345056">
        <w:tc>
          <w:tcPr>
            <w:tcW w:w="8828" w:type="dxa"/>
          </w:tcPr>
          <w:p w14:paraId="73522C7C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Criterios de inscripción (si aplica):</w:t>
            </w:r>
          </w:p>
          <w:p w14:paraId="328180B1" w14:textId="4202056A" w:rsidR="00023235" w:rsidRPr="00416A9F" w:rsidRDefault="00FE1E7F" w:rsidP="00FB15C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6A9F">
              <w:rPr>
                <w:rFonts w:ascii="Arial" w:hAnsi="Arial" w:cs="Arial"/>
                <w:color w:val="000000" w:themeColor="text1"/>
              </w:rPr>
              <w:t>Contar con conocimientos básicos</w:t>
            </w:r>
            <w:r w:rsidR="00023235" w:rsidRPr="00416A9F">
              <w:rPr>
                <w:rFonts w:ascii="Arial" w:hAnsi="Arial" w:cs="Arial"/>
                <w:color w:val="000000" w:themeColor="text1"/>
              </w:rPr>
              <w:t xml:space="preserve"> de </w:t>
            </w:r>
            <w:r w:rsidRPr="00416A9F">
              <w:rPr>
                <w:rFonts w:ascii="Arial" w:hAnsi="Arial" w:cs="Arial"/>
                <w:color w:val="000000" w:themeColor="text1"/>
              </w:rPr>
              <w:t>m</w:t>
            </w:r>
            <w:r w:rsidR="00023235" w:rsidRPr="00416A9F">
              <w:rPr>
                <w:rFonts w:ascii="Arial" w:hAnsi="Arial" w:cs="Arial"/>
                <w:color w:val="000000" w:themeColor="text1"/>
              </w:rPr>
              <w:t>icrobiología</w:t>
            </w:r>
            <w:r w:rsidR="008F4B11" w:rsidRPr="00416A9F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023235" w:rsidRPr="00023311" w14:paraId="134B57CF" w14:textId="77777777" w:rsidTr="00345056">
        <w:tc>
          <w:tcPr>
            <w:tcW w:w="8828" w:type="dxa"/>
          </w:tcPr>
          <w:p w14:paraId="11C82E08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Conceptos básicos:</w:t>
            </w:r>
          </w:p>
          <w:p w14:paraId="479AA8D2" w14:textId="55D2A8FC" w:rsidR="00023235" w:rsidRPr="00956D42" w:rsidRDefault="00956D42" w:rsidP="00956D4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56D42">
              <w:rPr>
                <w:rFonts w:ascii="Arial" w:hAnsi="Arial" w:cs="Arial"/>
                <w:bCs/>
                <w:color w:val="000000" w:themeColor="text1"/>
                <w:lang w:val="es-ES_tradnl"/>
              </w:rPr>
              <w:t>Inocuidad</w:t>
            </w:r>
            <w:r>
              <w:rPr>
                <w:rFonts w:ascii="Arial" w:hAnsi="Arial" w:cs="Arial"/>
                <w:bCs/>
                <w:color w:val="000000" w:themeColor="text1"/>
                <w:lang w:val="es-ES_tradnl"/>
              </w:rPr>
              <w:t>, t</w:t>
            </w:r>
            <w:r w:rsidRPr="00956D42">
              <w:rPr>
                <w:rFonts w:ascii="Arial" w:hAnsi="Arial" w:cs="Arial"/>
                <w:bCs/>
                <w:color w:val="000000" w:themeColor="text1"/>
                <w:lang w:val="es-ES_tradnl"/>
              </w:rPr>
              <w:t>razabilidad</w:t>
            </w:r>
            <w:r>
              <w:rPr>
                <w:rFonts w:ascii="Arial" w:hAnsi="Arial" w:cs="Arial"/>
                <w:bCs/>
                <w:color w:val="000000" w:themeColor="text1"/>
                <w:lang w:val="es-ES_tradnl"/>
              </w:rPr>
              <w:t xml:space="preserve">, </w:t>
            </w:r>
            <w:r w:rsidRPr="00956D42">
              <w:rPr>
                <w:rFonts w:ascii="Arial" w:hAnsi="Arial" w:cs="Arial"/>
                <w:bCs/>
                <w:color w:val="000000" w:themeColor="text1"/>
                <w:lang w:val="es-ES_tradnl"/>
              </w:rPr>
              <w:t>ETAs</w:t>
            </w:r>
            <w:r>
              <w:rPr>
                <w:rFonts w:ascii="Arial" w:hAnsi="Arial" w:cs="Arial"/>
                <w:bCs/>
                <w:color w:val="000000" w:themeColor="text1"/>
                <w:lang w:val="es-ES_tradnl"/>
              </w:rPr>
              <w:t>, b</w:t>
            </w:r>
            <w:r w:rsidRPr="00956D42">
              <w:rPr>
                <w:rFonts w:ascii="Arial" w:hAnsi="Arial" w:cs="Arial"/>
                <w:bCs/>
                <w:color w:val="000000" w:themeColor="text1"/>
                <w:lang w:val="es-ES_tradnl"/>
              </w:rPr>
              <w:t>uenas prácticas de higiene.</w:t>
            </w:r>
          </w:p>
        </w:tc>
      </w:tr>
      <w:tr w:rsidR="00023235" w:rsidRPr="00023311" w14:paraId="04050FF7" w14:textId="77777777" w:rsidTr="00345056">
        <w:tc>
          <w:tcPr>
            <w:tcW w:w="8828" w:type="dxa"/>
          </w:tcPr>
          <w:p w14:paraId="4C7459AB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Justificación:</w:t>
            </w:r>
          </w:p>
          <w:p w14:paraId="7EBB6CA5" w14:textId="77777777" w:rsidR="006055BE" w:rsidRPr="00052BA7" w:rsidRDefault="006055BE" w:rsidP="006055B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52BA7">
              <w:rPr>
                <w:rFonts w:ascii="Arial" w:hAnsi="Arial" w:cs="Arial"/>
              </w:rPr>
              <w:t>La inocuidad de los alimentos constituye un componente fundamental para la protección de la salud pública, la prevención de enfermedades transmitidas por alimentos y el fortalecimiento de procesos orientados a la producción de alimentos seguros. El control de peligros biológicos, químicos</w:t>
            </w:r>
            <w:r>
              <w:rPr>
                <w:rFonts w:ascii="Arial" w:hAnsi="Arial" w:cs="Arial"/>
              </w:rPr>
              <w:t xml:space="preserve"> y</w:t>
            </w:r>
            <w:r w:rsidRPr="00052BA7">
              <w:rPr>
                <w:rFonts w:ascii="Arial" w:hAnsi="Arial" w:cs="Arial"/>
              </w:rPr>
              <w:t xml:space="preserve"> físicos exige una visión integral de la cadena alimentaria, en la que se reconozca la relación entre salud humana, ambiente, sistemas productivos y calidad alimentaria.</w:t>
            </w:r>
          </w:p>
          <w:p w14:paraId="26A0DB2D" w14:textId="7743E150" w:rsidR="00023235" w:rsidRPr="00416A9F" w:rsidRDefault="006055BE" w:rsidP="006055B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052BA7">
              <w:rPr>
                <w:rFonts w:ascii="Arial" w:hAnsi="Arial" w:cs="Arial"/>
              </w:rPr>
              <w:t>La formación en este campo favorece la identificación de riesgos de contaminación, la aplicación de buenas prácticas y programas de control, así como la interpretación de métodos microbiológicos</w:t>
            </w:r>
            <w:r>
              <w:rPr>
                <w:rFonts w:ascii="Arial" w:hAnsi="Arial" w:cs="Arial"/>
              </w:rPr>
              <w:t xml:space="preserve"> </w:t>
            </w:r>
            <w:r w:rsidRPr="00052BA7">
              <w:rPr>
                <w:rFonts w:ascii="Arial" w:hAnsi="Arial" w:cs="Arial"/>
              </w:rPr>
              <w:t>utilizados para evaluar la inocuidad de los alimentos.</w:t>
            </w:r>
            <w:r>
              <w:rPr>
                <w:rFonts w:ascii="Arial" w:hAnsi="Arial" w:cs="Arial"/>
              </w:rPr>
              <w:t xml:space="preserve"> Por lo tanto</w:t>
            </w:r>
            <w:r w:rsidRPr="00416A9F">
              <w:rPr>
                <w:rFonts w:ascii="Arial" w:hAnsi="Arial" w:cs="Arial"/>
                <w:color w:val="000000" w:themeColor="text1"/>
              </w:rPr>
              <w:t>, este curso tiene la finalidad de formar profesionales capaces de aplicar los principios de inocuidad en la producción de alimentos.</w:t>
            </w:r>
          </w:p>
        </w:tc>
      </w:tr>
      <w:tr w:rsidR="00023235" w:rsidRPr="00023311" w14:paraId="7F0B60AD" w14:textId="77777777" w:rsidTr="00345056">
        <w:tc>
          <w:tcPr>
            <w:tcW w:w="8828" w:type="dxa"/>
          </w:tcPr>
          <w:p w14:paraId="51421633" w14:textId="77777777" w:rsidR="00023235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Objetivo general:</w:t>
            </w:r>
          </w:p>
          <w:p w14:paraId="6F5A8774" w14:textId="502E7DFB" w:rsidR="00023235" w:rsidRPr="00B31AEC" w:rsidRDefault="00351B26" w:rsidP="00FB15CE">
            <w:pPr>
              <w:jc w:val="both"/>
              <w:rPr>
                <w:rFonts w:ascii="Arial" w:hAnsi="Arial" w:cs="Arial"/>
              </w:rPr>
            </w:pPr>
            <w:r w:rsidRPr="00351B26">
              <w:rPr>
                <w:rFonts w:ascii="Arial" w:hAnsi="Arial" w:cs="Arial"/>
              </w:rPr>
              <w:t>Analizar los fundamentos de la inocuidad alimentaria, las buenas prácticas de higiene y manufactura, los programas básicos para la gestión de la inocuidad, los sistemas de gestión y los métodos microbiológicos y moleculares aplicados a la detección de riesgos alimentarios, con el propósito de identificar, evaluar, prevenir y controlar los peligros que comprometen la seguridad de los alimentos.</w:t>
            </w:r>
          </w:p>
        </w:tc>
      </w:tr>
      <w:tr w:rsidR="00023235" w:rsidRPr="00023311" w14:paraId="1D5AB85A" w14:textId="77777777" w:rsidTr="00345056">
        <w:tc>
          <w:tcPr>
            <w:tcW w:w="8828" w:type="dxa"/>
          </w:tcPr>
          <w:p w14:paraId="7288D0A5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Objetivos específicos:</w:t>
            </w:r>
          </w:p>
          <w:p w14:paraId="05B93744" w14:textId="47C4F573" w:rsidR="00023235" w:rsidRPr="00FB15CE" w:rsidRDefault="00023235" w:rsidP="00FB15CE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FB15CE">
              <w:rPr>
                <w:rFonts w:ascii="Arial" w:hAnsi="Arial" w:cs="Arial"/>
                <w:color w:val="000000" w:themeColor="text1"/>
              </w:rPr>
              <w:t>Conocer y comprender la aplicación de la normativa nacional en la inocuidad de los</w:t>
            </w:r>
            <w:r w:rsidR="00E052DC" w:rsidRPr="00FB15C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FB15CE">
              <w:rPr>
                <w:rFonts w:ascii="Arial" w:hAnsi="Arial" w:cs="Arial"/>
                <w:color w:val="000000" w:themeColor="text1"/>
              </w:rPr>
              <w:t xml:space="preserve">alimentos. </w:t>
            </w:r>
          </w:p>
          <w:p w14:paraId="2D89DFC8" w14:textId="74A272B3" w:rsidR="00023235" w:rsidRPr="00FB15CE" w:rsidRDefault="00023235" w:rsidP="00FB15CE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FB15CE">
              <w:rPr>
                <w:rFonts w:ascii="Arial" w:hAnsi="Arial" w:cs="Arial"/>
                <w:color w:val="000000" w:themeColor="text1"/>
              </w:rPr>
              <w:t xml:space="preserve">Emplear métodos para detectar la contaminación microbiológica de los alimentos.  </w:t>
            </w:r>
          </w:p>
        </w:tc>
      </w:tr>
      <w:tr w:rsidR="00023235" w:rsidRPr="00023311" w14:paraId="4875C034" w14:textId="77777777" w:rsidTr="00345056">
        <w:tc>
          <w:tcPr>
            <w:tcW w:w="8828" w:type="dxa"/>
          </w:tcPr>
          <w:p w14:paraId="3C5F0D1E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Método de trabajo:</w:t>
            </w:r>
          </w:p>
          <w:p w14:paraId="2587091F" w14:textId="77777777" w:rsidR="00023235" w:rsidRPr="00416A9F" w:rsidRDefault="00023235" w:rsidP="00FB15C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16A9F">
              <w:rPr>
                <w:rFonts w:ascii="Arial" w:hAnsi="Arial" w:cs="Arial"/>
                <w:color w:val="000000" w:themeColor="text1"/>
              </w:rPr>
              <w:t xml:space="preserve">En las sesiones teóricas se desarrollarán actividades para que los alumnos comprendan la aplicación de los fundamentos y normativa entorno a la inocuidad de los alimentos. </w:t>
            </w:r>
            <w:r w:rsidR="005F6192" w:rsidRPr="00416A9F">
              <w:rPr>
                <w:rFonts w:ascii="Arial" w:hAnsi="Arial" w:cs="Arial"/>
                <w:color w:val="000000" w:themeColor="text1"/>
              </w:rPr>
              <w:t>Mientras que, e</w:t>
            </w:r>
            <w:r w:rsidRPr="00416A9F">
              <w:rPr>
                <w:rFonts w:ascii="Arial" w:hAnsi="Arial" w:cs="Arial"/>
                <w:color w:val="000000" w:themeColor="text1"/>
              </w:rPr>
              <w:t xml:space="preserve">n las sesiones prácticas se realizarán prácticas de laboratorio para desarrollar </w:t>
            </w:r>
            <w:r w:rsidR="005F6192" w:rsidRPr="00416A9F">
              <w:rPr>
                <w:rFonts w:ascii="Arial" w:hAnsi="Arial" w:cs="Arial"/>
                <w:color w:val="000000" w:themeColor="text1"/>
              </w:rPr>
              <w:t xml:space="preserve">los métodos microbiológicos para </w:t>
            </w:r>
            <w:r w:rsidRPr="00416A9F">
              <w:rPr>
                <w:rFonts w:ascii="Arial" w:hAnsi="Arial" w:cs="Arial"/>
                <w:color w:val="000000" w:themeColor="text1"/>
              </w:rPr>
              <w:t xml:space="preserve">la detección de </w:t>
            </w:r>
            <w:r w:rsidR="005F6192" w:rsidRPr="00416A9F">
              <w:rPr>
                <w:rFonts w:ascii="Arial" w:hAnsi="Arial" w:cs="Arial"/>
                <w:color w:val="000000" w:themeColor="text1"/>
              </w:rPr>
              <w:t>microorganismos indicadores de contaminación alimentaria</w:t>
            </w:r>
            <w:r w:rsidRPr="00416A9F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023235" w:rsidRPr="00023311" w14:paraId="0934936E" w14:textId="77777777" w:rsidTr="00345056">
        <w:tc>
          <w:tcPr>
            <w:tcW w:w="8828" w:type="dxa"/>
          </w:tcPr>
          <w:p w14:paraId="685B71D7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Criterios de evaluación:</w:t>
            </w:r>
          </w:p>
          <w:p w14:paraId="172B34FA" w14:textId="676460D3" w:rsidR="00023235" w:rsidRPr="007F28B2" w:rsidRDefault="005F6192" w:rsidP="00FB15CE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7F28B2">
              <w:rPr>
                <w:rFonts w:ascii="Arial" w:hAnsi="Arial" w:cs="Arial"/>
                <w:color w:val="000000" w:themeColor="text1"/>
              </w:rPr>
              <w:t>Parcial 1= 30 puntos</w:t>
            </w:r>
            <w:r w:rsidR="007F28B2" w:rsidRPr="007F28B2">
              <w:rPr>
                <w:rFonts w:ascii="Arial" w:hAnsi="Arial" w:cs="Arial"/>
                <w:color w:val="000000" w:themeColor="text1"/>
              </w:rPr>
              <w:t>.</w:t>
            </w:r>
          </w:p>
          <w:p w14:paraId="6F9C1590" w14:textId="10E37E2F" w:rsidR="005F6192" w:rsidRPr="007F28B2" w:rsidRDefault="005F6192" w:rsidP="00FB15CE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7F28B2">
              <w:rPr>
                <w:rFonts w:ascii="Arial" w:hAnsi="Arial" w:cs="Arial"/>
                <w:color w:val="000000" w:themeColor="text1"/>
              </w:rPr>
              <w:lastRenderedPageBreak/>
              <w:t>Parcial 2= 30 puntos</w:t>
            </w:r>
            <w:r w:rsidR="007F28B2" w:rsidRPr="007F28B2">
              <w:rPr>
                <w:rFonts w:ascii="Arial" w:hAnsi="Arial" w:cs="Arial"/>
                <w:color w:val="000000" w:themeColor="text1"/>
              </w:rPr>
              <w:t>.</w:t>
            </w:r>
          </w:p>
          <w:p w14:paraId="51F41EBC" w14:textId="026C8A66" w:rsidR="005F6192" w:rsidRPr="007F28B2" w:rsidRDefault="005F6192" w:rsidP="00FB15CE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7F28B2">
              <w:rPr>
                <w:rFonts w:ascii="Arial" w:hAnsi="Arial" w:cs="Arial"/>
                <w:color w:val="000000" w:themeColor="text1"/>
              </w:rPr>
              <w:t>Parcial 3= 30 puntos</w:t>
            </w:r>
            <w:r w:rsidR="007F28B2" w:rsidRPr="007F28B2">
              <w:rPr>
                <w:rFonts w:ascii="Arial" w:hAnsi="Arial" w:cs="Arial"/>
                <w:color w:val="000000" w:themeColor="text1"/>
              </w:rPr>
              <w:t>.</w:t>
            </w:r>
          </w:p>
          <w:p w14:paraId="07F626A1" w14:textId="19061CCF" w:rsidR="00023235" w:rsidRPr="007F28B2" w:rsidRDefault="005C3A15" w:rsidP="00FB15CE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7F28B2">
              <w:rPr>
                <w:rFonts w:ascii="Arial" w:hAnsi="Arial" w:cs="Arial"/>
                <w:color w:val="000000" w:themeColor="text1"/>
              </w:rPr>
              <w:t>Evaluación</w:t>
            </w:r>
            <w:r w:rsidR="005F6192" w:rsidRPr="007F28B2">
              <w:rPr>
                <w:rFonts w:ascii="Arial" w:hAnsi="Arial" w:cs="Arial"/>
                <w:color w:val="000000" w:themeColor="text1"/>
              </w:rPr>
              <w:t xml:space="preserve"> final= 10 puntos</w:t>
            </w:r>
            <w:r w:rsidR="007F28B2" w:rsidRPr="007F28B2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023235" w:rsidRPr="00023311" w14:paraId="0148C581" w14:textId="77777777" w:rsidTr="00345056">
        <w:tc>
          <w:tcPr>
            <w:tcW w:w="8828" w:type="dxa"/>
          </w:tcPr>
          <w:p w14:paraId="4108AB7E" w14:textId="77777777" w:rsidR="00023235" w:rsidRPr="00416A9F" w:rsidRDefault="00023235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lastRenderedPageBreak/>
              <w:t>Temario:</w:t>
            </w:r>
          </w:p>
          <w:p w14:paraId="329C9DCA" w14:textId="1E424DC5" w:rsidR="00FB72CF" w:rsidRPr="00456F75" w:rsidRDefault="00152A8C" w:rsidP="00FB15CE">
            <w:pPr>
              <w:jc w:val="both"/>
              <w:rPr>
                <w:rFonts w:ascii="Arial" w:hAnsi="Arial" w:cs="Arial"/>
                <w:b/>
                <w:bCs/>
                <w:spacing w:val="-2"/>
              </w:rPr>
            </w:pPr>
            <w:r w:rsidRPr="00456F75">
              <w:rPr>
                <w:rFonts w:ascii="Arial" w:hAnsi="Arial" w:cs="Arial"/>
                <w:b/>
                <w:bCs/>
                <w:color w:val="000000" w:themeColor="text1"/>
              </w:rPr>
              <w:t>Unidad I</w:t>
            </w:r>
            <w:r w:rsidR="00456F75" w:rsidRPr="00456F75">
              <w:rPr>
                <w:rFonts w:ascii="Arial" w:hAnsi="Arial" w:cs="Arial"/>
                <w:b/>
                <w:bCs/>
                <w:color w:val="000000" w:themeColor="text1"/>
              </w:rPr>
              <w:t xml:space="preserve">. </w:t>
            </w:r>
            <w:r w:rsidR="00FB72CF" w:rsidRPr="00456F75">
              <w:rPr>
                <w:rFonts w:ascii="Arial" w:hAnsi="Arial" w:cs="Arial"/>
                <w:b/>
                <w:bCs/>
              </w:rPr>
              <w:t>Fundamentos de la inocuidad de</w:t>
            </w:r>
            <w:r w:rsidR="00FB72CF" w:rsidRPr="00456F75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="00FB72CF" w:rsidRPr="00456F75">
              <w:rPr>
                <w:rFonts w:ascii="Arial" w:hAnsi="Arial" w:cs="Arial"/>
                <w:b/>
                <w:bCs/>
              </w:rPr>
              <w:t xml:space="preserve">los </w:t>
            </w:r>
            <w:r w:rsidR="00FB72CF" w:rsidRPr="00456F75">
              <w:rPr>
                <w:rFonts w:ascii="Arial" w:hAnsi="Arial" w:cs="Arial"/>
                <w:b/>
                <w:bCs/>
                <w:spacing w:val="-2"/>
              </w:rPr>
              <w:t>alimentos.</w:t>
            </w:r>
          </w:p>
          <w:p w14:paraId="14774B9F" w14:textId="77777777" w:rsidR="009E521A" w:rsidRPr="005F4402" w:rsidRDefault="009E521A" w:rsidP="009E521A">
            <w:pPr>
              <w:spacing w:line="276" w:lineRule="auto"/>
              <w:rPr>
                <w:rFonts w:ascii="Arial" w:eastAsia="+mn-ea" w:hAnsi="Arial" w:cs="Arial"/>
              </w:rPr>
            </w:pPr>
            <w:r w:rsidRPr="005F4402">
              <w:rPr>
                <w:rFonts w:ascii="Arial" w:eastAsia="+mn-ea" w:hAnsi="Arial" w:cs="Arial"/>
              </w:rPr>
              <w:t>1.1. Concepto de inocuidad alimentaria.</w:t>
            </w:r>
          </w:p>
          <w:p w14:paraId="3F9CCF3B" w14:textId="77777777" w:rsidR="009E521A" w:rsidRPr="005F4402" w:rsidRDefault="009E521A" w:rsidP="009E521A">
            <w:pPr>
              <w:spacing w:line="276" w:lineRule="auto"/>
              <w:rPr>
                <w:rFonts w:ascii="Arial" w:eastAsia="+mn-ea" w:hAnsi="Arial" w:cs="Arial"/>
              </w:rPr>
            </w:pPr>
            <w:r w:rsidRPr="005F4402">
              <w:rPr>
                <w:rFonts w:ascii="Arial" w:eastAsia="+mn-ea" w:hAnsi="Arial" w:cs="Arial"/>
              </w:rPr>
              <w:t>1.2. Contaminación alimentaria y enfermedades transmitidas por alimentos.</w:t>
            </w:r>
          </w:p>
          <w:p w14:paraId="7DC6D44F" w14:textId="77777777" w:rsidR="009E521A" w:rsidRPr="005F4402" w:rsidRDefault="009E521A" w:rsidP="009E521A">
            <w:pPr>
              <w:spacing w:line="276" w:lineRule="auto"/>
              <w:rPr>
                <w:rFonts w:ascii="Arial" w:eastAsia="+mn-ea" w:hAnsi="Arial" w:cs="Arial"/>
              </w:rPr>
            </w:pPr>
            <w:r w:rsidRPr="005F4402">
              <w:rPr>
                <w:rFonts w:ascii="Arial" w:eastAsia="+mn-ea" w:hAnsi="Arial" w:cs="Arial"/>
              </w:rPr>
              <w:t>1.3. Peligros biológicos, químicos</w:t>
            </w:r>
            <w:r>
              <w:rPr>
                <w:rFonts w:ascii="Arial" w:eastAsia="+mn-ea" w:hAnsi="Arial" w:cs="Arial"/>
              </w:rPr>
              <w:t xml:space="preserve"> y</w:t>
            </w:r>
            <w:r w:rsidRPr="005F4402">
              <w:rPr>
                <w:rFonts w:ascii="Arial" w:eastAsia="+mn-ea" w:hAnsi="Arial" w:cs="Arial"/>
              </w:rPr>
              <w:t xml:space="preserve"> físicos.</w:t>
            </w:r>
          </w:p>
          <w:p w14:paraId="4FCBDEA6" w14:textId="77777777" w:rsidR="009E521A" w:rsidRPr="005F4402" w:rsidRDefault="009E521A" w:rsidP="009E521A">
            <w:pPr>
              <w:spacing w:line="276" w:lineRule="auto"/>
              <w:rPr>
                <w:rFonts w:ascii="Arial" w:eastAsia="+mn-ea" w:hAnsi="Arial" w:cs="Arial"/>
              </w:rPr>
            </w:pPr>
            <w:r w:rsidRPr="005F4402">
              <w:rPr>
                <w:rFonts w:ascii="Arial" w:eastAsia="+mn-ea" w:hAnsi="Arial" w:cs="Arial"/>
              </w:rPr>
              <w:t>1.4. Cadena alimentaria y enfoque One Health.</w:t>
            </w:r>
          </w:p>
          <w:p w14:paraId="5B295B32" w14:textId="77777777" w:rsidR="009E521A" w:rsidRDefault="009E521A" w:rsidP="009E521A">
            <w:pPr>
              <w:spacing w:line="276" w:lineRule="auto"/>
              <w:rPr>
                <w:rFonts w:ascii="Arial" w:eastAsia="+mn-ea" w:hAnsi="Arial" w:cs="Arial"/>
              </w:rPr>
            </w:pPr>
            <w:r w:rsidRPr="005F4402">
              <w:rPr>
                <w:rFonts w:ascii="Arial" w:eastAsia="+mn-ea" w:hAnsi="Arial" w:cs="Arial"/>
              </w:rPr>
              <w:t>1.5. Impacto sanitario, económico, ambiental y social de los alimentos contaminados.</w:t>
            </w:r>
          </w:p>
          <w:p w14:paraId="2B84693B" w14:textId="5C9C85A6" w:rsidR="005D043A" w:rsidRDefault="009E521A" w:rsidP="009E521A">
            <w:pPr>
              <w:pStyle w:val="TableParagraph"/>
              <w:rPr>
                <w:rFonts w:ascii="Arial" w:eastAsia="+mn-ea" w:hAnsi="Arial" w:cs="Arial"/>
              </w:rPr>
            </w:pPr>
            <w:r>
              <w:rPr>
                <w:rFonts w:ascii="Arial" w:eastAsia="+mn-ea" w:hAnsi="Arial" w:cs="Arial"/>
              </w:rPr>
              <w:t xml:space="preserve">1.6. </w:t>
            </w:r>
            <w:r w:rsidRPr="003D6D56">
              <w:rPr>
                <w:rFonts w:ascii="Arial" w:eastAsia="+mn-ea" w:hAnsi="Arial" w:cs="Arial"/>
              </w:rPr>
              <w:t>Normas Oficiales Mexicanas y especificaciones sanitarias.</w:t>
            </w:r>
          </w:p>
          <w:p w14:paraId="5B898995" w14:textId="77777777" w:rsidR="009E521A" w:rsidRDefault="009E521A" w:rsidP="009E521A">
            <w:pPr>
              <w:pStyle w:val="TableParagraph"/>
              <w:rPr>
                <w:rFonts w:ascii="Arial" w:hAnsi="Arial" w:cs="Arial"/>
                <w:spacing w:val="-2"/>
              </w:rPr>
            </w:pPr>
          </w:p>
          <w:p w14:paraId="2E746564" w14:textId="424965FE" w:rsidR="003A69A1" w:rsidRPr="003D6D56" w:rsidRDefault="005D043A" w:rsidP="003A69A1">
            <w:pPr>
              <w:spacing w:line="276" w:lineRule="auto"/>
              <w:rPr>
                <w:rFonts w:ascii="Arial" w:hAnsi="Arial" w:cs="Arial"/>
                <w:b/>
                <w:bCs/>
                <w:lang w:val="es-ES"/>
              </w:rPr>
            </w:pPr>
            <w:r w:rsidRPr="00413D33">
              <w:rPr>
                <w:rFonts w:ascii="Arial" w:hAnsi="Arial" w:cs="Arial"/>
                <w:b/>
                <w:bCs/>
              </w:rPr>
              <w:t xml:space="preserve">Unidad II. </w:t>
            </w:r>
            <w:r w:rsidR="003A69A1" w:rsidRPr="003D6D56">
              <w:rPr>
                <w:rFonts w:ascii="Arial" w:hAnsi="Arial" w:cs="Arial"/>
                <w:b/>
                <w:bCs/>
                <w:lang w:val="es-ES"/>
              </w:rPr>
              <w:t xml:space="preserve"> Buenas prácticas</w:t>
            </w:r>
            <w:r w:rsidR="004E10C4">
              <w:rPr>
                <w:rFonts w:ascii="Arial" w:hAnsi="Arial" w:cs="Arial"/>
                <w:b/>
                <w:bCs/>
                <w:lang w:val="es-ES"/>
              </w:rPr>
              <w:t xml:space="preserve"> de higiene, manufactura </w:t>
            </w:r>
            <w:r w:rsidR="003A69A1" w:rsidRPr="003D6D56">
              <w:rPr>
                <w:rFonts w:ascii="Arial" w:hAnsi="Arial" w:cs="Arial"/>
                <w:b/>
                <w:bCs/>
                <w:lang w:val="es-ES"/>
              </w:rPr>
              <w:t>y sistemas de gestión de inocuidad.</w:t>
            </w:r>
          </w:p>
          <w:p w14:paraId="42627675" w14:textId="77777777" w:rsidR="003A69A1" w:rsidRPr="003D6D56" w:rsidRDefault="003A69A1" w:rsidP="003A69A1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D6D56">
              <w:rPr>
                <w:rFonts w:ascii="Arial" w:hAnsi="Arial" w:cs="Arial"/>
                <w:lang w:val="es-ES"/>
              </w:rPr>
              <w:t>2.1.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r w:rsidRPr="003D6D56">
              <w:rPr>
                <w:rFonts w:ascii="Arial" w:hAnsi="Arial" w:cs="Arial"/>
                <w:lang w:val="es-ES"/>
              </w:rPr>
              <w:t>Buenas prácticas de higiene y manufactura.</w:t>
            </w:r>
          </w:p>
          <w:p w14:paraId="56674B22" w14:textId="77777777" w:rsidR="003A69A1" w:rsidRPr="003D6D56" w:rsidRDefault="003A69A1" w:rsidP="003A69A1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D6D56">
              <w:rPr>
                <w:rFonts w:ascii="Arial" w:hAnsi="Arial" w:cs="Arial"/>
                <w:lang w:val="es-ES"/>
              </w:rPr>
              <w:t>2.2.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r w:rsidRPr="003D6D56">
              <w:rPr>
                <w:rFonts w:ascii="Arial" w:hAnsi="Arial" w:cs="Arial"/>
                <w:lang w:val="es-ES"/>
              </w:rPr>
              <w:t>Buenas prácticas agrícolas y pecuarias.</w:t>
            </w:r>
          </w:p>
          <w:p w14:paraId="53BA2F04" w14:textId="77777777" w:rsidR="003A69A1" w:rsidRPr="003D6D56" w:rsidRDefault="003A69A1" w:rsidP="003A69A1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D6D56">
              <w:rPr>
                <w:rFonts w:ascii="Arial" w:hAnsi="Arial" w:cs="Arial"/>
                <w:lang w:val="es-ES"/>
              </w:rPr>
              <w:t>2.3.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r w:rsidRPr="003D6D56">
              <w:rPr>
                <w:rFonts w:ascii="Arial" w:hAnsi="Arial" w:cs="Arial"/>
                <w:lang w:val="es-ES"/>
              </w:rPr>
              <w:t>Limpieza y desinfección.</w:t>
            </w:r>
          </w:p>
          <w:p w14:paraId="28AA9A3A" w14:textId="77777777" w:rsidR="003A69A1" w:rsidRPr="003D6D56" w:rsidRDefault="003A69A1" w:rsidP="003A69A1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D6D56">
              <w:rPr>
                <w:rFonts w:ascii="Arial" w:hAnsi="Arial" w:cs="Arial"/>
                <w:lang w:val="es-ES"/>
              </w:rPr>
              <w:t>2.4. Control de plagas, agua, residuos y proveedores.</w:t>
            </w:r>
          </w:p>
          <w:p w14:paraId="33EB5A85" w14:textId="77777777" w:rsidR="003A69A1" w:rsidRDefault="003A69A1" w:rsidP="003A69A1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D6D56">
              <w:rPr>
                <w:rFonts w:ascii="Arial" w:hAnsi="Arial" w:cs="Arial"/>
                <w:lang w:val="es-ES"/>
              </w:rPr>
              <w:t>2.5. Análisis de Peligros y Puntos Críticos de Control.</w:t>
            </w:r>
          </w:p>
          <w:p w14:paraId="6C626EB7" w14:textId="77777777" w:rsidR="001B17B8" w:rsidRPr="003D6D56" w:rsidRDefault="001B17B8" w:rsidP="001B17B8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D6D56">
              <w:rPr>
                <w:rFonts w:ascii="Arial" w:hAnsi="Arial" w:cs="Arial"/>
                <w:lang w:val="es-ES"/>
              </w:rPr>
              <w:t>2.6. Trazabilidad y retiro de producto.</w:t>
            </w:r>
          </w:p>
          <w:p w14:paraId="6D68E692" w14:textId="173E501A" w:rsidR="001B17B8" w:rsidRPr="003D6D56" w:rsidRDefault="001B17B8" w:rsidP="001B17B8">
            <w:pPr>
              <w:spacing w:line="276" w:lineRule="auto"/>
              <w:rPr>
                <w:rFonts w:ascii="Arial" w:hAnsi="Arial" w:cs="Arial"/>
                <w:lang w:val="es-ES"/>
              </w:rPr>
            </w:pPr>
            <w:r w:rsidRPr="003D6D56">
              <w:rPr>
                <w:rFonts w:ascii="Arial" w:hAnsi="Arial" w:cs="Arial"/>
                <w:lang w:val="es-ES"/>
              </w:rPr>
              <w:t>2.7.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r w:rsidRPr="003D6D56">
              <w:rPr>
                <w:rFonts w:ascii="Arial" w:hAnsi="Arial" w:cs="Arial"/>
                <w:lang w:val="es-ES"/>
              </w:rPr>
              <w:t>Introducción a ISO 22000 y sistemas de gestión de inocuidad alimentaria.</w:t>
            </w:r>
          </w:p>
          <w:p w14:paraId="156AC168" w14:textId="66FC63AD" w:rsidR="00413D33" w:rsidRDefault="00413D33" w:rsidP="00FB15CE">
            <w:pPr>
              <w:pStyle w:val="TableParagraph"/>
              <w:rPr>
                <w:sz w:val="24"/>
              </w:rPr>
            </w:pPr>
          </w:p>
          <w:p w14:paraId="4EC2297E" w14:textId="1D91C9F0" w:rsidR="0014688B" w:rsidRPr="007F28B2" w:rsidRDefault="0014688B" w:rsidP="00FB15CE">
            <w:pPr>
              <w:pStyle w:val="TableParagraph"/>
              <w:rPr>
                <w:rFonts w:ascii="Arial" w:hAnsi="Arial" w:cs="Arial"/>
                <w:b/>
                <w:bCs/>
                <w:spacing w:val="-4"/>
                <w:szCs w:val="20"/>
              </w:rPr>
            </w:pPr>
            <w:r w:rsidRPr="007F28B2">
              <w:rPr>
                <w:rFonts w:ascii="Arial" w:hAnsi="Arial" w:cs="Arial"/>
                <w:b/>
                <w:bCs/>
                <w:szCs w:val="20"/>
              </w:rPr>
              <w:t xml:space="preserve">Unidad III. </w:t>
            </w:r>
            <w:r w:rsidR="007D242A" w:rsidRPr="00DC0F03">
              <w:rPr>
                <w:rFonts w:ascii="Arial" w:hAnsi="Arial" w:cs="Arial"/>
                <w:b/>
                <w:bCs/>
              </w:rPr>
              <w:t xml:space="preserve"> Métodos microbiológicos y moleculares aplicados a alimentos.</w:t>
            </w:r>
          </w:p>
          <w:p w14:paraId="69696378" w14:textId="77777777" w:rsidR="0014655D" w:rsidRPr="00DC0F03" w:rsidRDefault="0014655D" w:rsidP="0014655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C0F03">
              <w:rPr>
                <w:rFonts w:ascii="Arial" w:hAnsi="Arial" w:cs="Arial"/>
              </w:rPr>
              <w:t>.1.</w:t>
            </w:r>
            <w:r>
              <w:rPr>
                <w:rFonts w:ascii="Arial" w:hAnsi="Arial" w:cs="Arial"/>
              </w:rPr>
              <w:t xml:space="preserve"> </w:t>
            </w:r>
            <w:r w:rsidRPr="00DC0F03">
              <w:rPr>
                <w:rFonts w:ascii="Arial" w:hAnsi="Arial" w:cs="Arial"/>
              </w:rPr>
              <w:t>Muestreo y preparación de muestras.</w:t>
            </w:r>
          </w:p>
          <w:p w14:paraId="0B19E071" w14:textId="77777777" w:rsidR="0014655D" w:rsidRPr="00DC0F03" w:rsidRDefault="0014655D" w:rsidP="0014655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C0F03">
              <w:rPr>
                <w:rFonts w:ascii="Arial" w:hAnsi="Arial" w:cs="Arial"/>
              </w:rPr>
              <w:t>.2. Diluciones seriadas y conteo en placa.</w:t>
            </w:r>
          </w:p>
          <w:p w14:paraId="7AC40D76" w14:textId="77777777" w:rsidR="0014655D" w:rsidRPr="00DC0F03" w:rsidRDefault="0014655D" w:rsidP="0014655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C0F03">
              <w:rPr>
                <w:rFonts w:ascii="Arial" w:hAnsi="Arial" w:cs="Arial"/>
              </w:rPr>
              <w:t>.3. Bacterias aerobias mesofílicas, mohos y levaduras.</w:t>
            </w:r>
          </w:p>
          <w:p w14:paraId="4E4573D5" w14:textId="77777777" w:rsidR="0014655D" w:rsidRPr="00DC0F03" w:rsidRDefault="0014655D" w:rsidP="0014655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C0F03">
              <w:rPr>
                <w:rFonts w:ascii="Arial" w:hAnsi="Arial" w:cs="Arial"/>
              </w:rPr>
              <w:t xml:space="preserve">.4. Coliformes totales, coliformes fecales y </w:t>
            </w:r>
            <w:r w:rsidRPr="00DC0F03">
              <w:rPr>
                <w:rFonts w:ascii="Arial" w:hAnsi="Arial" w:cs="Arial"/>
                <w:i/>
                <w:iCs/>
              </w:rPr>
              <w:t>Escherichia coli</w:t>
            </w:r>
            <w:r w:rsidRPr="00DC0F03">
              <w:rPr>
                <w:rFonts w:ascii="Arial" w:hAnsi="Arial" w:cs="Arial"/>
              </w:rPr>
              <w:t>.</w:t>
            </w:r>
          </w:p>
          <w:p w14:paraId="597997E8" w14:textId="77777777" w:rsidR="0014655D" w:rsidRPr="00DC0F03" w:rsidRDefault="0014655D" w:rsidP="0014655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C0F03">
              <w:rPr>
                <w:rFonts w:ascii="Arial" w:hAnsi="Arial" w:cs="Arial"/>
              </w:rPr>
              <w:t xml:space="preserve">.5. Detección de </w:t>
            </w:r>
            <w:r w:rsidRPr="00DC0F03">
              <w:rPr>
                <w:rFonts w:ascii="Arial" w:hAnsi="Arial" w:cs="Arial"/>
                <w:i/>
                <w:iCs/>
              </w:rPr>
              <w:t xml:space="preserve">Salmonella </w:t>
            </w:r>
            <w:r w:rsidRPr="00D07A2E">
              <w:rPr>
                <w:rFonts w:ascii="Arial" w:hAnsi="Arial" w:cs="Arial"/>
              </w:rPr>
              <w:t>spp</w:t>
            </w:r>
            <w:r w:rsidRPr="00DC0F03">
              <w:rPr>
                <w:rFonts w:ascii="Arial" w:hAnsi="Arial" w:cs="Arial"/>
              </w:rPr>
              <w:t>.</w:t>
            </w:r>
          </w:p>
          <w:p w14:paraId="28C57DD8" w14:textId="77777777" w:rsidR="0014655D" w:rsidRPr="00DC0F03" w:rsidRDefault="0014655D" w:rsidP="0014655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C0F03">
              <w:rPr>
                <w:rFonts w:ascii="Arial" w:hAnsi="Arial" w:cs="Arial"/>
              </w:rPr>
              <w:t xml:space="preserve">.6. Enumeración de </w:t>
            </w:r>
            <w:r w:rsidRPr="00DC0F03">
              <w:rPr>
                <w:rFonts w:ascii="Arial" w:hAnsi="Arial" w:cs="Arial"/>
                <w:i/>
                <w:iCs/>
              </w:rPr>
              <w:t>Staphylococcus aureus</w:t>
            </w:r>
            <w:r w:rsidRPr="00DC0F03">
              <w:rPr>
                <w:rFonts w:ascii="Arial" w:hAnsi="Arial" w:cs="Arial"/>
              </w:rPr>
              <w:t>.</w:t>
            </w:r>
          </w:p>
          <w:p w14:paraId="6EE00280" w14:textId="3B7983C9" w:rsidR="0014688B" w:rsidRDefault="0014655D" w:rsidP="0014655D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DC0F03">
              <w:rPr>
                <w:rFonts w:ascii="Arial" w:hAnsi="Arial" w:cs="Arial"/>
              </w:rPr>
              <w:t xml:space="preserve">.7. Introducción a </w:t>
            </w:r>
            <w:r w:rsidRPr="00DC0F03">
              <w:rPr>
                <w:rFonts w:ascii="Arial" w:hAnsi="Arial" w:cs="Arial"/>
                <w:i/>
                <w:iCs/>
              </w:rPr>
              <w:t xml:space="preserve">Listeria monocytogenes </w:t>
            </w:r>
            <w:r w:rsidRPr="00DC0F03">
              <w:rPr>
                <w:rFonts w:ascii="Arial" w:hAnsi="Arial" w:cs="Arial"/>
              </w:rPr>
              <w:t>y otros patógenos emergentes.</w:t>
            </w:r>
          </w:p>
          <w:p w14:paraId="6102C473" w14:textId="77777777" w:rsidR="0014655D" w:rsidRPr="00413D33" w:rsidRDefault="0014655D" w:rsidP="0014655D">
            <w:pPr>
              <w:pStyle w:val="TableParagraph"/>
              <w:rPr>
                <w:sz w:val="24"/>
              </w:rPr>
            </w:pPr>
          </w:p>
          <w:p w14:paraId="1C8E87F2" w14:textId="1BDA8E98" w:rsidR="00023235" w:rsidRPr="00FC7B15" w:rsidRDefault="00023235" w:rsidP="00FB15CE">
            <w:pPr>
              <w:pStyle w:val="TableParagraph"/>
              <w:rPr>
                <w:sz w:val="24"/>
              </w:rPr>
            </w:pPr>
            <w:r w:rsidRPr="00416A9F">
              <w:rPr>
                <w:rFonts w:ascii="Arial" w:hAnsi="Arial" w:cs="Arial"/>
                <w:b/>
                <w:color w:val="000000" w:themeColor="text1"/>
              </w:rPr>
              <w:t>Prácticas:</w:t>
            </w:r>
          </w:p>
          <w:p w14:paraId="355B8A6E" w14:textId="77777777" w:rsidR="00E71F41" w:rsidRDefault="008B1277" w:rsidP="00FB15CE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D07A2E">
              <w:rPr>
                <w:rFonts w:ascii="Arial" w:hAnsi="Arial" w:cs="Arial"/>
                <w:color w:val="000000" w:themeColor="text1"/>
              </w:rPr>
              <w:t>Preparación de medios y Tinción Gram.</w:t>
            </w:r>
          </w:p>
          <w:p w14:paraId="16AE6FB5" w14:textId="77777777" w:rsidR="008B1277" w:rsidRDefault="008A0A26" w:rsidP="00FB15CE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</w:t>
            </w:r>
            <w:r w:rsidRPr="00D07A2E">
              <w:rPr>
                <w:rFonts w:ascii="Arial" w:hAnsi="Arial" w:cs="Arial"/>
                <w:color w:val="000000" w:themeColor="text1"/>
              </w:rPr>
              <w:t>onteo en placa de bacterias aerobias, mohos, levaduras y coliformes.</w:t>
            </w:r>
          </w:p>
          <w:p w14:paraId="5D20E512" w14:textId="77777777" w:rsidR="008A0A26" w:rsidRDefault="0082208F" w:rsidP="00FB15CE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D07A2E">
              <w:rPr>
                <w:rFonts w:ascii="Arial" w:hAnsi="Arial" w:cs="Arial"/>
                <w:color w:val="000000" w:themeColor="text1"/>
              </w:rPr>
              <w:t>Enumeración de coliformes totales.</w:t>
            </w:r>
          </w:p>
          <w:p w14:paraId="30072C02" w14:textId="77777777" w:rsidR="0082208F" w:rsidRPr="00FB03EE" w:rsidRDefault="00FB03EE" w:rsidP="00FB15CE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D07A2E">
              <w:rPr>
                <w:rFonts w:ascii="Arial" w:hAnsi="Arial" w:cs="Arial"/>
                <w:color w:val="000000" w:themeColor="text1"/>
              </w:rPr>
              <w:t xml:space="preserve">Enumeración de coliformes fecales y </w:t>
            </w:r>
            <w:r w:rsidRPr="00D07A2E">
              <w:rPr>
                <w:rFonts w:ascii="Arial" w:hAnsi="Arial" w:cs="Arial"/>
                <w:i/>
                <w:iCs/>
                <w:color w:val="000000" w:themeColor="text1"/>
              </w:rPr>
              <w:t>Escherichia coli</w:t>
            </w:r>
          </w:p>
          <w:p w14:paraId="0C17B505" w14:textId="77777777" w:rsidR="00FB03EE" w:rsidRDefault="007B3DB9" w:rsidP="00FB15CE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D07A2E">
              <w:rPr>
                <w:rFonts w:ascii="Arial" w:hAnsi="Arial" w:cs="Arial"/>
                <w:color w:val="000000" w:themeColor="text1"/>
              </w:rPr>
              <w:t xml:space="preserve">Detección de </w:t>
            </w:r>
            <w:r w:rsidRPr="00D07A2E">
              <w:rPr>
                <w:rFonts w:ascii="Arial" w:hAnsi="Arial" w:cs="Arial"/>
                <w:i/>
                <w:iCs/>
                <w:color w:val="000000" w:themeColor="text1"/>
              </w:rPr>
              <w:t xml:space="preserve">Salmonella </w:t>
            </w:r>
            <w:r w:rsidRPr="00D07A2E">
              <w:rPr>
                <w:rFonts w:ascii="Arial" w:hAnsi="Arial" w:cs="Arial"/>
                <w:color w:val="000000" w:themeColor="text1"/>
              </w:rPr>
              <w:t>spp.</w:t>
            </w:r>
          </w:p>
          <w:p w14:paraId="27EC164F" w14:textId="77777777" w:rsidR="007B3DB9" w:rsidRPr="00B75D5E" w:rsidRDefault="00CA22C5" w:rsidP="00FB15CE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D07A2E">
              <w:rPr>
                <w:rFonts w:ascii="Arial" w:hAnsi="Arial" w:cs="Arial"/>
                <w:color w:val="000000" w:themeColor="text1"/>
              </w:rPr>
              <w:t xml:space="preserve">Enumeración de </w:t>
            </w:r>
            <w:r w:rsidRPr="00D07A2E">
              <w:rPr>
                <w:rFonts w:ascii="Arial" w:hAnsi="Arial" w:cs="Arial"/>
                <w:i/>
                <w:iCs/>
                <w:color w:val="000000" w:themeColor="text1"/>
              </w:rPr>
              <w:t>Staphylococcus aureus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.</w:t>
            </w:r>
          </w:p>
          <w:p w14:paraId="2D506BEA" w14:textId="2720AA7E" w:rsidR="00B75D5E" w:rsidRPr="00F333B5" w:rsidRDefault="00B75D5E" w:rsidP="00FB15CE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D07A2E">
              <w:rPr>
                <w:rFonts w:ascii="Arial" w:hAnsi="Arial" w:cs="Arial"/>
                <w:color w:val="000000" w:themeColor="text1"/>
              </w:rPr>
              <w:t>Uso de Petrifilm para el análisis microbiológico.</w:t>
            </w:r>
          </w:p>
        </w:tc>
      </w:tr>
      <w:tr w:rsidR="00023235" w:rsidRPr="00023311" w14:paraId="252E2301" w14:textId="77777777" w:rsidTr="00345056">
        <w:tc>
          <w:tcPr>
            <w:tcW w:w="8828" w:type="dxa"/>
          </w:tcPr>
          <w:p w14:paraId="12317B38" w14:textId="45D52AB4" w:rsidR="004E7D7A" w:rsidRPr="00416A9F" w:rsidRDefault="007F083F" w:rsidP="00FB15C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Referencias</w:t>
            </w:r>
            <w:r w:rsidR="00023235" w:rsidRPr="00416A9F">
              <w:rPr>
                <w:rFonts w:ascii="Arial" w:hAnsi="Arial" w:cs="Arial"/>
                <w:b/>
                <w:color w:val="000000" w:themeColor="text1"/>
              </w:rPr>
              <w:t>:</w:t>
            </w:r>
          </w:p>
          <w:p w14:paraId="3BC35D1F" w14:textId="77777777" w:rsidR="004B30B9" w:rsidRPr="005A3C28" w:rsidRDefault="004B30B9" w:rsidP="004B30B9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5A3C28">
              <w:rPr>
                <w:rFonts w:ascii="Arial" w:hAnsi="Arial" w:cs="Arial"/>
                <w:color w:val="000000" w:themeColor="text1"/>
              </w:rPr>
              <w:t xml:space="preserve">Comisión del Codex Alimentarius. (2016). </w:t>
            </w:r>
            <w:r w:rsidRPr="005A3C28">
              <w:rPr>
                <w:rFonts w:ascii="Arial" w:hAnsi="Arial" w:cs="Arial"/>
                <w:i/>
                <w:iCs/>
                <w:color w:val="000000" w:themeColor="text1"/>
              </w:rPr>
              <w:t>Codex Alimentarius</w:t>
            </w:r>
            <w:r w:rsidRPr="005A3C28">
              <w:rPr>
                <w:rFonts w:ascii="Arial" w:hAnsi="Arial" w:cs="Arial"/>
                <w:color w:val="000000" w:themeColor="text1"/>
              </w:rPr>
              <w:t xml:space="preserve"> (25.ª ed.). FAO/OMS.</w:t>
            </w:r>
          </w:p>
          <w:p w14:paraId="50D8543D" w14:textId="77777777" w:rsidR="004B30B9" w:rsidRPr="005A3C28" w:rsidRDefault="004B30B9" w:rsidP="004B30B9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5A3C28">
              <w:rPr>
                <w:rFonts w:ascii="Arial" w:hAnsi="Arial" w:cs="Arial"/>
                <w:color w:val="000000" w:themeColor="text1"/>
              </w:rPr>
              <w:t xml:space="preserve">Forsythe, S. J. (2003). </w:t>
            </w:r>
            <w:r w:rsidRPr="005A3C28">
              <w:rPr>
                <w:rFonts w:ascii="Arial" w:hAnsi="Arial" w:cs="Arial"/>
                <w:i/>
                <w:iCs/>
                <w:color w:val="000000" w:themeColor="text1"/>
              </w:rPr>
              <w:t>Alimentos seguros: Microbiología</w:t>
            </w:r>
            <w:r w:rsidRPr="005A3C28">
              <w:rPr>
                <w:rFonts w:ascii="Arial" w:hAnsi="Arial" w:cs="Arial"/>
                <w:color w:val="000000" w:themeColor="text1"/>
              </w:rPr>
              <w:t>. Acribia.</w:t>
            </w:r>
          </w:p>
          <w:p w14:paraId="16248A2B" w14:textId="77777777" w:rsidR="004B30B9" w:rsidRPr="005A3C28" w:rsidRDefault="004B30B9" w:rsidP="004B30B9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5A3C28">
              <w:rPr>
                <w:rFonts w:ascii="Arial" w:hAnsi="Arial" w:cs="Arial"/>
                <w:color w:val="000000" w:themeColor="text1"/>
              </w:rPr>
              <w:t xml:space="preserve">Fox, B. A. (2012). </w:t>
            </w:r>
            <w:r w:rsidRPr="005A3C28">
              <w:rPr>
                <w:rFonts w:ascii="Arial" w:hAnsi="Arial" w:cs="Arial"/>
                <w:i/>
                <w:iCs/>
                <w:color w:val="000000" w:themeColor="text1"/>
              </w:rPr>
              <w:t>Ciencia de los alimentos, nutrición y salud</w:t>
            </w:r>
            <w:r w:rsidRPr="005A3C28">
              <w:rPr>
                <w:rFonts w:ascii="Arial" w:hAnsi="Arial" w:cs="Arial"/>
                <w:color w:val="000000" w:themeColor="text1"/>
              </w:rPr>
              <w:t>. Limusa.</w:t>
            </w:r>
          </w:p>
          <w:p w14:paraId="12D55D94" w14:textId="77777777" w:rsidR="004B30B9" w:rsidRPr="005A3C28" w:rsidRDefault="004B30B9" w:rsidP="004B30B9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5A3C28">
              <w:rPr>
                <w:rFonts w:ascii="Arial" w:hAnsi="Arial" w:cs="Arial"/>
                <w:color w:val="000000" w:themeColor="text1"/>
              </w:rPr>
              <w:t xml:space="preserve">Moll, M., y Moll, N. (2006). </w:t>
            </w:r>
            <w:r w:rsidRPr="005A3C28">
              <w:rPr>
                <w:rFonts w:ascii="Arial" w:hAnsi="Arial" w:cs="Arial"/>
                <w:i/>
                <w:iCs/>
                <w:color w:val="000000" w:themeColor="text1"/>
              </w:rPr>
              <w:t>Compendio de riesgos alimentarios</w:t>
            </w:r>
            <w:r w:rsidRPr="005A3C28">
              <w:rPr>
                <w:rFonts w:ascii="Arial" w:hAnsi="Arial" w:cs="Arial"/>
                <w:color w:val="000000" w:themeColor="text1"/>
              </w:rPr>
              <w:t>. Acribia.</w:t>
            </w:r>
          </w:p>
          <w:p w14:paraId="1E73B4F5" w14:textId="77777777" w:rsidR="004B30B9" w:rsidRPr="005A3C28" w:rsidRDefault="004B30B9" w:rsidP="004B30B9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5A3C28">
              <w:rPr>
                <w:rFonts w:ascii="Arial" w:hAnsi="Arial" w:cs="Arial"/>
                <w:color w:val="000000" w:themeColor="text1"/>
              </w:rPr>
              <w:lastRenderedPageBreak/>
              <w:t xml:space="preserve">Secretaría de Salud. (2010, 1 de marzo). </w:t>
            </w:r>
            <w:r w:rsidRPr="005A3C28">
              <w:rPr>
                <w:rFonts w:ascii="Arial" w:hAnsi="Arial" w:cs="Arial"/>
                <w:i/>
                <w:iCs/>
                <w:color w:val="000000" w:themeColor="text1"/>
              </w:rPr>
              <w:t>Norma Oficial Mexicana NOM-251-SSA1-2009, Prácticas de higiene para el proceso de alimentos, bebidas o suplementos alimenticios</w:t>
            </w:r>
            <w:r w:rsidRPr="005A3C28">
              <w:rPr>
                <w:rFonts w:ascii="Arial" w:hAnsi="Arial" w:cs="Arial"/>
                <w:color w:val="000000" w:themeColor="text1"/>
              </w:rPr>
              <w:t>. Diario Oficial de la Federación.</w:t>
            </w:r>
          </w:p>
          <w:p w14:paraId="1581A1EF" w14:textId="77777777" w:rsidR="004B30B9" w:rsidRDefault="004B30B9" w:rsidP="004B30B9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5A3C28">
              <w:rPr>
                <w:rFonts w:ascii="Arial" w:hAnsi="Arial" w:cs="Arial"/>
                <w:color w:val="000000" w:themeColor="text1"/>
              </w:rPr>
              <w:t xml:space="preserve">Roberts, D., Hooper, W., y Greenwood, M. (2000). </w:t>
            </w:r>
            <w:r w:rsidRPr="005A3C28">
              <w:rPr>
                <w:rFonts w:ascii="Arial" w:hAnsi="Arial" w:cs="Arial"/>
                <w:i/>
                <w:iCs/>
                <w:color w:val="000000" w:themeColor="text1"/>
              </w:rPr>
              <w:t>Microbiología práctica de los alimentos</w:t>
            </w:r>
            <w:r w:rsidRPr="005A3C28">
              <w:rPr>
                <w:rFonts w:ascii="Arial" w:hAnsi="Arial" w:cs="Arial"/>
                <w:color w:val="000000" w:themeColor="text1"/>
              </w:rPr>
              <w:t>. Acribia.</w:t>
            </w:r>
          </w:p>
          <w:p w14:paraId="3DD16576" w14:textId="4B36EF28" w:rsidR="00023235" w:rsidRPr="004B30B9" w:rsidRDefault="004B30B9" w:rsidP="004B30B9">
            <w:pPr>
              <w:pStyle w:val="Prrafodelista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4B30B9">
              <w:rPr>
                <w:rFonts w:ascii="Arial" w:hAnsi="Arial" w:cs="Arial"/>
                <w:color w:val="000000" w:themeColor="text1"/>
              </w:rPr>
              <w:t xml:space="preserve">Westhoff, D. C., y Frazier, W. C. (1993). </w:t>
            </w:r>
            <w:r w:rsidRPr="004B30B9">
              <w:rPr>
                <w:rFonts w:ascii="Arial" w:hAnsi="Arial" w:cs="Arial"/>
                <w:i/>
                <w:iCs/>
                <w:color w:val="000000" w:themeColor="text1"/>
              </w:rPr>
              <w:t>Microbiología de los alimentos</w:t>
            </w:r>
            <w:r w:rsidRPr="004B30B9">
              <w:rPr>
                <w:rFonts w:ascii="Arial" w:hAnsi="Arial" w:cs="Arial"/>
                <w:color w:val="000000" w:themeColor="text1"/>
              </w:rPr>
              <w:t>. Acribia.</w:t>
            </w:r>
          </w:p>
        </w:tc>
      </w:tr>
    </w:tbl>
    <w:p w14:paraId="7601AD9C" w14:textId="77777777" w:rsidR="006B3CE4" w:rsidRPr="00023311" w:rsidRDefault="006B3CE4">
      <w:pPr>
        <w:rPr>
          <w:rFonts w:ascii="Arial" w:hAnsi="Arial" w:cs="Arial"/>
        </w:rPr>
      </w:pPr>
    </w:p>
    <w:p w14:paraId="396E281E" w14:textId="77777777" w:rsidR="004B0D83" w:rsidRDefault="00A31B4E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511F0B4" wp14:editId="6C4BEC86">
            <wp:simplePos x="0" y="0"/>
            <wp:positionH relativeFrom="page">
              <wp:align>left</wp:align>
            </wp:positionH>
            <wp:positionV relativeFrom="paragraph">
              <wp:posOffset>5003539</wp:posOffset>
            </wp:positionV>
            <wp:extent cx="7717491" cy="2019534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2" t="75898" r="1081" b="3979"/>
                    <a:stretch/>
                  </pic:blipFill>
                  <pic:spPr bwMode="auto">
                    <a:xfrm>
                      <a:off x="0" y="0"/>
                      <a:ext cx="7717491" cy="2019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0D83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53C0" w14:textId="77777777" w:rsidR="001D3526" w:rsidRDefault="001D3526" w:rsidP="00A31B4E">
      <w:pPr>
        <w:spacing w:after="0" w:line="240" w:lineRule="auto"/>
      </w:pPr>
      <w:r>
        <w:separator/>
      </w:r>
    </w:p>
  </w:endnote>
  <w:endnote w:type="continuationSeparator" w:id="0">
    <w:p w14:paraId="619D523F" w14:textId="77777777" w:rsidR="001D3526" w:rsidRDefault="001D3526" w:rsidP="00A3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7C2D" w14:textId="77777777" w:rsidR="00A31B4E" w:rsidRDefault="00A31B4E">
    <w:pPr>
      <w:pStyle w:val="Piedepgina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30D0BD0" wp14:editId="268AE6CF">
          <wp:simplePos x="0" y="0"/>
          <wp:positionH relativeFrom="page">
            <wp:posOffset>5610</wp:posOffset>
          </wp:positionH>
          <wp:positionV relativeFrom="paragraph">
            <wp:posOffset>205269</wp:posOffset>
          </wp:positionV>
          <wp:extent cx="7783195" cy="336343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911"/>
                  <a:stretch/>
                </pic:blipFill>
                <pic:spPr bwMode="auto">
                  <a:xfrm>
                    <a:off x="0" y="0"/>
                    <a:ext cx="7811231" cy="337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9AC1" w14:textId="77777777" w:rsidR="001D3526" w:rsidRDefault="001D3526" w:rsidP="00A31B4E">
      <w:pPr>
        <w:spacing w:after="0" w:line="240" w:lineRule="auto"/>
      </w:pPr>
      <w:r>
        <w:separator/>
      </w:r>
    </w:p>
  </w:footnote>
  <w:footnote w:type="continuationSeparator" w:id="0">
    <w:p w14:paraId="6B0A8745" w14:textId="77777777" w:rsidR="001D3526" w:rsidRDefault="001D3526" w:rsidP="00A31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032F3"/>
    <w:multiLevelType w:val="hybridMultilevel"/>
    <w:tmpl w:val="B29803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1B0"/>
    <w:multiLevelType w:val="multilevel"/>
    <w:tmpl w:val="29645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2" w15:restartNumberingAfterBreak="0">
    <w:nsid w:val="35C44CAA"/>
    <w:multiLevelType w:val="hybridMultilevel"/>
    <w:tmpl w:val="B94292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82802"/>
    <w:multiLevelType w:val="hybridMultilevel"/>
    <w:tmpl w:val="307A0C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911BD"/>
    <w:multiLevelType w:val="hybridMultilevel"/>
    <w:tmpl w:val="607E5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2170"/>
    <w:multiLevelType w:val="hybridMultilevel"/>
    <w:tmpl w:val="D9D684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67894"/>
    <w:multiLevelType w:val="hybridMultilevel"/>
    <w:tmpl w:val="0BFE56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41196"/>
    <w:multiLevelType w:val="hybridMultilevel"/>
    <w:tmpl w:val="06006F34"/>
    <w:lvl w:ilvl="0" w:tplc="C59ECF08">
      <w:start w:val="1"/>
      <w:numFmt w:val="decimal"/>
      <w:lvlText w:val="%1."/>
      <w:lvlJc w:val="left"/>
      <w:pPr>
        <w:ind w:left="1092" w:hanging="73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E36C5"/>
    <w:multiLevelType w:val="hybridMultilevel"/>
    <w:tmpl w:val="D6C60E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A1067"/>
    <w:multiLevelType w:val="multilevel"/>
    <w:tmpl w:val="29645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10" w15:restartNumberingAfterBreak="0">
    <w:nsid w:val="6A3B2B81"/>
    <w:multiLevelType w:val="multilevel"/>
    <w:tmpl w:val="29645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11" w15:restartNumberingAfterBreak="0">
    <w:nsid w:val="73874619"/>
    <w:multiLevelType w:val="hybridMultilevel"/>
    <w:tmpl w:val="F6A81A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64743"/>
    <w:multiLevelType w:val="multilevel"/>
    <w:tmpl w:val="19C4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C1239B"/>
    <w:multiLevelType w:val="hybridMultilevel"/>
    <w:tmpl w:val="816ED73E"/>
    <w:lvl w:ilvl="0" w:tplc="C9E604C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357527">
    <w:abstractNumId w:val="8"/>
  </w:num>
  <w:num w:numId="2" w16cid:durableId="1558543598">
    <w:abstractNumId w:val="0"/>
  </w:num>
  <w:num w:numId="3" w16cid:durableId="413942693">
    <w:abstractNumId w:val="13"/>
  </w:num>
  <w:num w:numId="4" w16cid:durableId="719522595">
    <w:abstractNumId w:val="1"/>
  </w:num>
  <w:num w:numId="5" w16cid:durableId="1471678191">
    <w:abstractNumId w:val="4"/>
  </w:num>
  <w:num w:numId="6" w16cid:durableId="1367868098">
    <w:abstractNumId w:val="10"/>
  </w:num>
  <w:num w:numId="7" w16cid:durableId="943344267">
    <w:abstractNumId w:val="11"/>
  </w:num>
  <w:num w:numId="8" w16cid:durableId="827211445">
    <w:abstractNumId w:val="9"/>
  </w:num>
  <w:num w:numId="9" w16cid:durableId="1198812756">
    <w:abstractNumId w:val="7"/>
  </w:num>
  <w:num w:numId="10" w16cid:durableId="1201013340">
    <w:abstractNumId w:val="3"/>
  </w:num>
  <w:num w:numId="11" w16cid:durableId="1126268440">
    <w:abstractNumId w:val="2"/>
  </w:num>
  <w:num w:numId="12" w16cid:durableId="440682809">
    <w:abstractNumId w:val="6"/>
  </w:num>
  <w:num w:numId="13" w16cid:durableId="1104110243">
    <w:abstractNumId w:val="5"/>
  </w:num>
  <w:num w:numId="14" w16cid:durableId="102848779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83"/>
    <w:rsid w:val="0001479B"/>
    <w:rsid w:val="00021D57"/>
    <w:rsid w:val="00023235"/>
    <w:rsid w:val="00023311"/>
    <w:rsid w:val="000B7479"/>
    <w:rsid w:val="000D20EF"/>
    <w:rsid w:val="001065A5"/>
    <w:rsid w:val="00115847"/>
    <w:rsid w:val="00144869"/>
    <w:rsid w:val="0014655D"/>
    <w:rsid w:val="0014688B"/>
    <w:rsid w:val="00152A8C"/>
    <w:rsid w:val="001B17B8"/>
    <w:rsid w:val="001B673A"/>
    <w:rsid w:val="001D3526"/>
    <w:rsid w:val="001D48BB"/>
    <w:rsid w:val="001E06A9"/>
    <w:rsid w:val="00230CD9"/>
    <w:rsid w:val="0025476F"/>
    <w:rsid w:val="00260F58"/>
    <w:rsid w:val="00281BAE"/>
    <w:rsid w:val="002844EF"/>
    <w:rsid w:val="002A7493"/>
    <w:rsid w:val="002C0921"/>
    <w:rsid w:val="002D0BD1"/>
    <w:rsid w:val="002E5DE6"/>
    <w:rsid w:val="00351B26"/>
    <w:rsid w:val="003929A2"/>
    <w:rsid w:val="00394741"/>
    <w:rsid w:val="00396E61"/>
    <w:rsid w:val="003A69A1"/>
    <w:rsid w:val="003B6F09"/>
    <w:rsid w:val="003C08B9"/>
    <w:rsid w:val="003E0ADB"/>
    <w:rsid w:val="00413D33"/>
    <w:rsid w:val="00416A9F"/>
    <w:rsid w:val="00423A0E"/>
    <w:rsid w:val="00456F75"/>
    <w:rsid w:val="004762D5"/>
    <w:rsid w:val="004A7B2B"/>
    <w:rsid w:val="004B0D83"/>
    <w:rsid w:val="004B30B9"/>
    <w:rsid w:val="004E10C4"/>
    <w:rsid w:val="004E22C8"/>
    <w:rsid w:val="004E7D7A"/>
    <w:rsid w:val="00545051"/>
    <w:rsid w:val="00553D9B"/>
    <w:rsid w:val="005A7396"/>
    <w:rsid w:val="005C3A15"/>
    <w:rsid w:val="005D043A"/>
    <w:rsid w:val="005D5B52"/>
    <w:rsid w:val="005D7652"/>
    <w:rsid w:val="005F6192"/>
    <w:rsid w:val="006019DA"/>
    <w:rsid w:val="006055BE"/>
    <w:rsid w:val="006B3CE4"/>
    <w:rsid w:val="0070194E"/>
    <w:rsid w:val="00735FAE"/>
    <w:rsid w:val="007658DF"/>
    <w:rsid w:val="007771FE"/>
    <w:rsid w:val="00782BA3"/>
    <w:rsid w:val="007A2810"/>
    <w:rsid w:val="007B0F7B"/>
    <w:rsid w:val="007B3DB9"/>
    <w:rsid w:val="007C6019"/>
    <w:rsid w:val="007D242A"/>
    <w:rsid w:val="007E2B52"/>
    <w:rsid w:val="007F083F"/>
    <w:rsid w:val="007F28B2"/>
    <w:rsid w:val="0082208F"/>
    <w:rsid w:val="00827B9F"/>
    <w:rsid w:val="0087204F"/>
    <w:rsid w:val="0088730F"/>
    <w:rsid w:val="0088798A"/>
    <w:rsid w:val="008A0A26"/>
    <w:rsid w:val="008B1277"/>
    <w:rsid w:val="008D3D68"/>
    <w:rsid w:val="008E3E3C"/>
    <w:rsid w:val="008F4B11"/>
    <w:rsid w:val="00956D42"/>
    <w:rsid w:val="00980D4F"/>
    <w:rsid w:val="009A665F"/>
    <w:rsid w:val="009D3DBC"/>
    <w:rsid w:val="009E521A"/>
    <w:rsid w:val="009F35F9"/>
    <w:rsid w:val="00A31B4E"/>
    <w:rsid w:val="00A555F5"/>
    <w:rsid w:val="00A95CC7"/>
    <w:rsid w:val="00AB06FD"/>
    <w:rsid w:val="00AC5C8B"/>
    <w:rsid w:val="00B207D1"/>
    <w:rsid w:val="00B263B5"/>
    <w:rsid w:val="00B31AEC"/>
    <w:rsid w:val="00B36018"/>
    <w:rsid w:val="00B623EA"/>
    <w:rsid w:val="00B74335"/>
    <w:rsid w:val="00B75D5E"/>
    <w:rsid w:val="00C10FC5"/>
    <w:rsid w:val="00C73A53"/>
    <w:rsid w:val="00C7619B"/>
    <w:rsid w:val="00C81907"/>
    <w:rsid w:val="00CA22C5"/>
    <w:rsid w:val="00CB6916"/>
    <w:rsid w:val="00CD0EB8"/>
    <w:rsid w:val="00CD2639"/>
    <w:rsid w:val="00D45F27"/>
    <w:rsid w:val="00D66DE8"/>
    <w:rsid w:val="00DE4CC9"/>
    <w:rsid w:val="00E052DC"/>
    <w:rsid w:val="00E1194C"/>
    <w:rsid w:val="00E71F41"/>
    <w:rsid w:val="00F12AE9"/>
    <w:rsid w:val="00F333B5"/>
    <w:rsid w:val="00F45BCC"/>
    <w:rsid w:val="00FB03EE"/>
    <w:rsid w:val="00FB15CE"/>
    <w:rsid w:val="00FB268A"/>
    <w:rsid w:val="00FB72CF"/>
    <w:rsid w:val="00FC7B15"/>
    <w:rsid w:val="00FE1E7F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EC0EF"/>
  <w15:chartTrackingRefBased/>
  <w15:docId w15:val="{0EBDCE1C-4227-4BD7-81F5-CE39AC09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1B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B4E"/>
  </w:style>
  <w:style w:type="paragraph" w:styleId="Piedepgina">
    <w:name w:val="footer"/>
    <w:basedOn w:val="Normal"/>
    <w:link w:val="PiedepginaCar"/>
    <w:uiPriority w:val="99"/>
    <w:unhideWhenUsed/>
    <w:rsid w:val="00A31B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B4E"/>
  </w:style>
  <w:style w:type="paragraph" w:styleId="Prrafodelista">
    <w:name w:val="List Paragraph"/>
    <w:basedOn w:val="Normal"/>
    <w:uiPriority w:val="34"/>
    <w:qFormat/>
    <w:rsid w:val="00E052D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D26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9E5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731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AM</dc:creator>
  <cp:keywords/>
  <dc:description/>
  <cp:lastModifiedBy>José Armando Magaña González</cp:lastModifiedBy>
  <cp:revision>101</cp:revision>
  <dcterms:created xsi:type="dcterms:W3CDTF">2024-07-08T16:40:00Z</dcterms:created>
  <dcterms:modified xsi:type="dcterms:W3CDTF">2026-08-06T18:33:00Z</dcterms:modified>
</cp:coreProperties>
</file>